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78" w:rsidRPr="005B66CF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B66CF" w:rsidRPr="005B66CF">
        <w:rPr>
          <w:rFonts w:ascii="Times New Roman" w:hAnsi="Times New Roman" w:cs="Times New Roman"/>
          <w:b/>
          <w:sz w:val="24"/>
          <w:szCs w:val="24"/>
          <w:lang w:val="kk-KZ"/>
        </w:rPr>
        <w:t>Латенттік белгілерді талдау әдістері</w:t>
      </w:r>
      <w:r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5D6EA9"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 Midterm Exam сұрақтары</w:t>
      </w:r>
    </w:p>
    <w:p w:rsidR="005D6EA9" w:rsidRPr="005B66CF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5B66CF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>Аралық бақылау ауызша формада «жабық кітаб» негізінде, магистранттардың пәнді түсіну, критикалық және аналитикалық ойлау қабілеттері мен білімдерін дәлелдеу үшін өткізіледі. Емтихан</w:t>
      </w:r>
      <w:r w:rsidR="001969CB" w:rsidRPr="005B66C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bookmarkStart w:id="0" w:name="_GoBack"/>
      <w:bookmarkEnd w:id="0"/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ауызша пікірталас арқылы өткізіледі, яғни құрылымды аргументтерді талап етеді. Шамалас берілген 8 сұрақтың арасынан 2 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5B66CF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5B66CF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5B66C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514FF5" w:rsidRPr="005B66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Әлеуметтік </w:t>
      </w:r>
      <w:r w:rsidR="006042E2" w:rsidRPr="005B66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маркетингілік зерттеулерге талдау.</w:t>
      </w:r>
      <w:r w:rsidR="00514FF5" w:rsidRPr="005B66C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E45A7" w:rsidRPr="005B66CF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5B66C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5B66CF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5B66CF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5B66CF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CF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5B66CF">
        <w:rPr>
          <w:rFonts w:ascii="Times New Roman" w:hAnsi="Times New Roman" w:cs="Times New Roman"/>
          <w:b/>
          <w:sz w:val="24"/>
          <w:szCs w:val="24"/>
        </w:rPr>
        <w:t>:</w:t>
      </w:r>
    </w:p>
    <w:p w:rsidR="005B66CF" w:rsidRPr="005B66CF" w:rsidRDefault="005B66CF" w:rsidP="005B66C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Латентік ұғымын зерттеудің   теориялық негіздері </w:t>
      </w:r>
    </w:p>
    <w:p w:rsidR="005B66CF" w:rsidRPr="005B66CF" w:rsidRDefault="005B66CF" w:rsidP="005B66C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>Латенттік белгілерді зерттеу тарихы.</w:t>
      </w:r>
    </w:p>
    <w:p w:rsidR="005B66CF" w:rsidRPr="005B66CF" w:rsidRDefault="005B66CF" w:rsidP="005B66C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sz w:val="24"/>
          <w:szCs w:val="24"/>
          <w:lang w:val="kk-KZ"/>
        </w:rPr>
        <w:t>Ресей  мен Батыс елдерінде латенттік белгілерді зерттеу</w:t>
      </w:r>
    </w:p>
    <w:p w:rsidR="005B66CF" w:rsidRPr="005B66CF" w:rsidRDefault="005B66CF" w:rsidP="005B66CF">
      <w:pPr>
        <w:pStyle w:val="a3"/>
        <w:numPr>
          <w:ilvl w:val="0"/>
          <w:numId w:val="12"/>
        </w:numPr>
        <w:tabs>
          <w:tab w:val="righ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sz w:val="24"/>
          <w:szCs w:val="24"/>
          <w:lang w:val="kk-KZ"/>
        </w:rPr>
        <w:t xml:space="preserve">Латенттік белгілерді құрылымы </w:t>
      </w:r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мен негізгі бірліктері</w:t>
      </w:r>
    </w:p>
    <w:p w:rsidR="005B66CF" w:rsidRPr="005B66CF" w:rsidRDefault="005B66CF" w:rsidP="005B66CF">
      <w:pPr>
        <w:pStyle w:val="a3"/>
        <w:numPr>
          <w:ilvl w:val="0"/>
          <w:numId w:val="12"/>
        </w:numPr>
        <w:tabs>
          <w:tab w:val="righ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sz w:val="24"/>
          <w:szCs w:val="24"/>
          <w:lang w:val="kk-KZ"/>
        </w:rPr>
        <w:t xml:space="preserve">Латенттік белгілерді </w:t>
      </w:r>
      <w:r w:rsidRPr="005B66CF">
        <w:rPr>
          <w:rFonts w:ascii="Times New Roman" w:hAnsi="Times New Roman" w:cs="Times New Roman"/>
          <w:bCs/>
          <w:sz w:val="24"/>
          <w:szCs w:val="24"/>
          <w:lang w:val="kk-KZ"/>
        </w:rPr>
        <w:t>қалыптасу ерекшелігі</w:t>
      </w:r>
    </w:p>
    <w:p w:rsidR="005B66CF" w:rsidRPr="005B66CF" w:rsidRDefault="005B66CF" w:rsidP="005B66C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63D2" w:rsidRPr="005B66CF" w:rsidRDefault="00DA63D2" w:rsidP="00DA63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6CF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A63D2" w:rsidRPr="005B66CF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66CF" w:rsidRPr="005B66CF" w:rsidRDefault="005B66CF" w:rsidP="005B66CF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6CF">
        <w:rPr>
          <w:rFonts w:ascii="Times New Roman" w:hAnsi="Times New Roman" w:cs="Times New Roman"/>
          <w:sz w:val="24"/>
          <w:szCs w:val="24"/>
        </w:rPr>
        <w:t>Маслак А. А. Измерение латентных переменных в социально-экономических системах: теория и практика: Монография. – Славянск-на-Кубани: Издательский центр СГПИ, 2007. – 424 с</w:t>
      </w:r>
    </w:p>
    <w:p w:rsidR="005B66CF" w:rsidRPr="005B66CF" w:rsidRDefault="005B66CF" w:rsidP="005B66CF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6CF">
        <w:rPr>
          <w:rFonts w:ascii="Times New Roman" w:hAnsi="Times New Roman" w:cs="Times New Roman"/>
          <w:color w:val="000000"/>
          <w:sz w:val="24"/>
          <w:szCs w:val="24"/>
        </w:rPr>
        <w:t>Саати Т. Принятие решений при зависимостях и обратных связях: Аналитические сети: пер. с англ. / науч. ред. А.В. Андрейчиков, О.Н. Андрейчикова. 2-е изд.,М.: Кн. дом «ЛИБРОКОМ», 2009. – 357 с</w:t>
      </w:r>
      <w:r w:rsidRPr="005B66CF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5B66CF" w:rsidRPr="005B66CF" w:rsidRDefault="005B66CF" w:rsidP="005B66CF">
      <w:pPr>
        <w:numPr>
          <w:ilvl w:val="0"/>
          <w:numId w:val="11"/>
        </w:numPr>
        <w:tabs>
          <w:tab w:val="left" w:pos="993"/>
        </w:tabs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66CF">
        <w:rPr>
          <w:rFonts w:ascii="Times New Roman" w:hAnsi="Times New Roman" w:cs="Times New Roman"/>
          <w:bCs/>
          <w:sz w:val="24"/>
          <w:szCs w:val="24"/>
        </w:rPr>
        <w:t>Ядов, В. А. Стратегия социологического исследования. Описание, объяснение, понимание социальной реальности.- М., 2011</w:t>
      </w:r>
    </w:p>
    <w:p w:rsidR="005B66CF" w:rsidRPr="005B66CF" w:rsidRDefault="005B66CF" w:rsidP="005B66CF">
      <w:pPr>
        <w:pStyle w:val="a3"/>
        <w:numPr>
          <w:ilvl w:val="0"/>
          <w:numId w:val="11"/>
        </w:numPr>
        <w:tabs>
          <w:tab w:val="num" w:pos="426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66C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5B66CF">
        <w:rPr>
          <w:rFonts w:ascii="Times New Roman" w:hAnsi="Times New Roman" w:cs="Times New Roman"/>
          <w:sz w:val="24"/>
          <w:szCs w:val="24"/>
        </w:rPr>
        <w:t>Аванесов В.С. Проблема измерения латентных качеств / Педагогические измерения. – № 3. – 2010. Технология социальной работы: Учебное пособие/ Под ред. И.Г. Зайнышева. – Москва, издательский центр Владос,20</w:t>
      </w:r>
      <w:r w:rsidRPr="005B66CF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Pr="005B66CF">
        <w:rPr>
          <w:rFonts w:ascii="Times New Roman" w:hAnsi="Times New Roman" w:cs="Times New Roman"/>
          <w:sz w:val="24"/>
          <w:szCs w:val="24"/>
        </w:rPr>
        <w:t>. – 240с.</w:t>
      </w:r>
    </w:p>
    <w:p w:rsidR="005B66CF" w:rsidRPr="005B66CF" w:rsidRDefault="005B66CF" w:rsidP="005B66CF">
      <w:pPr>
        <w:pStyle w:val="a3"/>
        <w:numPr>
          <w:ilvl w:val="0"/>
          <w:numId w:val="11"/>
        </w:numPr>
        <w:tabs>
          <w:tab w:val="num" w:pos="426"/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66C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5B66CF">
        <w:rPr>
          <w:rFonts w:ascii="Times New Roman" w:hAnsi="Times New Roman" w:cs="Times New Roman"/>
          <w:sz w:val="24"/>
          <w:szCs w:val="24"/>
        </w:rPr>
        <w:t>Митина О.В. Моделирование латентных изменений с помощью структурных уравнений // Экспериментальная психология. 2008. №1. – C. 131-148.</w:t>
      </w:r>
      <w:r w:rsidRPr="005B66CF">
        <w:rPr>
          <w:rFonts w:ascii="Times New Roman" w:hAnsi="Times New Roman" w:cs="Times New Roman"/>
          <w:sz w:val="24"/>
          <w:szCs w:val="24"/>
          <w:lang w:val="kk-KZ"/>
        </w:rPr>
        <w:t xml:space="preserve"> ҚР көш-қон туралы заңы. Астана, 2014</w:t>
      </w:r>
    </w:p>
    <w:p w:rsidR="00DA63D2" w:rsidRPr="005B66CF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Pr="005B66CF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3D2" w:rsidRPr="005B66CF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5B66CF" w:rsidRDefault="001969CB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6C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Ауызша пікірталастың бағасы </w:t>
      </w:r>
    </w:p>
    <w:tbl>
      <w:tblPr>
        <w:tblStyle w:val="a4"/>
        <w:tblW w:w="0" w:type="auto"/>
        <w:tblLook w:val="00A0"/>
      </w:tblPr>
      <w:tblGrid>
        <w:gridCol w:w="1737"/>
        <w:gridCol w:w="1842"/>
        <w:gridCol w:w="1978"/>
        <w:gridCol w:w="2206"/>
        <w:gridCol w:w="1808"/>
      </w:tblGrid>
      <w:tr w:rsidR="001969CB" w:rsidRPr="005B66C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B66CF">
              <w:rPr>
                <w:b/>
                <w:sz w:val="24"/>
                <w:szCs w:val="24"/>
                <w:lang w:eastAsia="ru-RU"/>
              </w:rPr>
              <w:t>A</w:t>
            </w:r>
            <w:r w:rsidRPr="005B66CF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B66CF">
              <w:rPr>
                <w:b/>
                <w:sz w:val="24"/>
                <w:szCs w:val="24"/>
                <w:lang w:eastAsia="ru-RU"/>
              </w:rPr>
              <w:t>B</w:t>
            </w:r>
            <w:r w:rsidRPr="005B66CF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B66CF">
              <w:rPr>
                <w:b/>
                <w:sz w:val="24"/>
                <w:szCs w:val="24"/>
                <w:lang w:eastAsia="ru-RU"/>
              </w:rPr>
              <w:t>C</w:t>
            </w:r>
            <w:r w:rsidRPr="005B66CF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5B66CF">
              <w:rPr>
                <w:b/>
                <w:sz w:val="24"/>
                <w:szCs w:val="24"/>
                <w:lang w:val="kk-KZ" w:eastAsia="ru-RU"/>
              </w:rPr>
              <w:t>л</w:t>
            </w:r>
            <w:r w:rsidRPr="005B66CF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5B66CF">
              <w:rPr>
                <w:b/>
                <w:sz w:val="24"/>
                <w:szCs w:val="24"/>
                <w:lang w:eastAsia="ru-RU"/>
              </w:rPr>
              <w:t>D</w:t>
            </w:r>
            <w:r w:rsidRPr="005B66CF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5B66C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Ортақ түсінік</w:t>
            </w: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Толығымен дамыған аргументтердің көмегімен тақырыптың терең түсінгендігін көрсетеді.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lastRenderedPageBreak/>
              <w:t>Тақырыптың шектеулі түсінігін, аргументтердің толығымен дамымауын көрсетеді.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Аргументтер қажетті деңгейде дамымаған, тақырыпқа немқұрайлықпен қарау.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Тақырыпты түсінгендігін жеткізе алмайды, ешқандай нақты аргументтер келтіре </w:t>
            </w:r>
            <w:r w:rsidRPr="005B66CF">
              <w:rPr>
                <w:sz w:val="24"/>
                <w:szCs w:val="24"/>
                <w:lang w:val="kk-KZ" w:eastAsia="ru-RU"/>
              </w:rPr>
              <w:lastRenderedPageBreak/>
              <w:t xml:space="preserve">алмайды.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5B66C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eastAsia="ru-RU"/>
              </w:rPr>
              <w:t>Аргумент</w:t>
            </w:r>
            <w:r w:rsidRPr="005B66CF">
              <w:rPr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>Аргументін немесе позициясын нақты құрастырады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Масштабы бойынша аргументтердің шектеулі немесе толық емес құрастырылу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Айқындамасы немесе аргументтері бірегейлік, нақты емес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Айқындамасын және аргументтерін нақты құрмайды. </w:t>
            </w:r>
          </w:p>
        </w:tc>
      </w:tr>
      <w:tr w:rsidR="001969CB" w:rsidRPr="005B66C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Дәлелдемелер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>Өзекті және нақты дәлелдемелерді көрсетеді. Аргументті қолдау үшін қажетті дәлелдемелер айтылады.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Барынша өзекті және нақты дәлелдемелерді келтіреді.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Аргументті қолдауда шектеулі дәлелдеме келтіреді.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Дәлелдерді нақты жеткізе алмайды немесе қатысы болмайды, алайда қосымша сұрақтар негізінде өзгертіледі.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Аргументті қолдау үшін қажетті дәлел болмайды , бірақ сұраныс негізінде көбейеді. 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>Көп нақты емес және өзекті емес дәлелдерді келтіреді. Қосымша сұрақтар негізінде де, аргументтерді қолдай алмайды.</w:t>
            </w: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1969CB" w:rsidRPr="005B66CF" w:rsidTr="00D858E8">
        <w:trPr>
          <w:trHeight w:val="1643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Салдары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Айқындама немесе аргументтің негізгі салдарлары толығымен сараланады.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Негізгі салдарлардың бірнешеуі байыпты сараланады.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Негізгі салдарлардан басқа, маңызы жоқ салдарлар айтылады немесе негізгі салдарларды байыпсыз саралайды. 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>Айқындама немесе аргументтер мүлдем сараланбайды.</w:t>
            </w:r>
          </w:p>
        </w:tc>
      </w:tr>
      <w:tr w:rsidR="001969CB" w:rsidRPr="005B66CF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5B66CF" w:rsidRDefault="001969CB" w:rsidP="00D858E8">
            <w:pPr>
              <w:rPr>
                <w:b/>
                <w:sz w:val="24"/>
                <w:szCs w:val="24"/>
                <w:lang w:val="kk-KZ" w:eastAsia="ru-RU"/>
              </w:rPr>
            </w:pPr>
            <w:r w:rsidRPr="005B66CF">
              <w:rPr>
                <w:b/>
                <w:sz w:val="24"/>
                <w:szCs w:val="24"/>
                <w:lang w:val="kk-KZ" w:eastAsia="ru-RU"/>
              </w:rPr>
              <w:t>Құрылымы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Идеяны дамыту барысында логиканың болуы. 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Идеяның дамуында логикалық жүйеліктің болмауы немесе сәйкес келмеуі.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>Реттілік процесінде логиканың болмауы немесе идеялардың сәйкес болмауы.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5B66CF" w:rsidRDefault="001969CB" w:rsidP="00D858E8">
            <w:pPr>
              <w:rPr>
                <w:sz w:val="24"/>
                <w:szCs w:val="24"/>
                <w:lang w:val="ru-RU" w:eastAsia="ru-RU"/>
              </w:rPr>
            </w:pPr>
            <w:r w:rsidRPr="005B66CF">
              <w:rPr>
                <w:sz w:val="24"/>
                <w:szCs w:val="24"/>
                <w:lang w:val="kk-KZ" w:eastAsia="ru-RU"/>
              </w:rPr>
              <w:t xml:space="preserve">Аргументті түсіну өте қиын, идеяның логикалық емес түрде дамуы. </w:t>
            </w:r>
          </w:p>
        </w:tc>
      </w:tr>
    </w:tbl>
    <w:p w:rsidR="00FF307F" w:rsidRPr="005B66CF" w:rsidRDefault="00FF307F" w:rsidP="00455902">
      <w:pPr>
        <w:rPr>
          <w:rFonts w:ascii="Times New Roman" w:hAnsi="Times New Roman" w:cs="Times New Roman"/>
          <w:sz w:val="24"/>
          <w:szCs w:val="24"/>
        </w:rPr>
      </w:pPr>
    </w:p>
    <w:sectPr w:rsidR="00FF307F" w:rsidRPr="005B66CF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E26" w:rsidRDefault="00461E26" w:rsidP="00185584">
      <w:pPr>
        <w:spacing w:after="0" w:line="240" w:lineRule="auto"/>
      </w:pPr>
      <w:r>
        <w:separator/>
      </w:r>
    </w:p>
  </w:endnote>
  <w:endnote w:type="continuationSeparator" w:id="1">
    <w:p w:rsidR="00461E26" w:rsidRDefault="00461E26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E26" w:rsidRDefault="00461E26" w:rsidP="00185584">
      <w:pPr>
        <w:spacing w:after="0" w:line="240" w:lineRule="auto"/>
      </w:pPr>
      <w:r>
        <w:separator/>
      </w:r>
    </w:p>
  </w:footnote>
  <w:footnote w:type="continuationSeparator" w:id="1">
    <w:p w:rsidR="00461E26" w:rsidRDefault="00461E26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1B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CB1192"/>
    <w:multiLevelType w:val="hybridMultilevel"/>
    <w:tmpl w:val="71868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3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6A126F"/>
    <w:multiLevelType w:val="hybridMultilevel"/>
    <w:tmpl w:val="CDFA8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971B9E"/>
    <w:multiLevelType w:val="hybridMultilevel"/>
    <w:tmpl w:val="58F06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9200B"/>
    <w:multiLevelType w:val="hybridMultilevel"/>
    <w:tmpl w:val="E7289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70933"/>
    <w:rsid w:val="002D2B44"/>
    <w:rsid w:val="00310D7A"/>
    <w:rsid w:val="00352EEC"/>
    <w:rsid w:val="003E1324"/>
    <w:rsid w:val="00412F9A"/>
    <w:rsid w:val="00417F99"/>
    <w:rsid w:val="004357EE"/>
    <w:rsid w:val="00455902"/>
    <w:rsid w:val="00461E26"/>
    <w:rsid w:val="00473A47"/>
    <w:rsid w:val="004824FE"/>
    <w:rsid w:val="004B008C"/>
    <w:rsid w:val="0050757F"/>
    <w:rsid w:val="00514FF5"/>
    <w:rsid w:val="00570878"/>
    <w:rsid w:val="005B531C"/>
    <w:rsid w:val="005B66CF"/>
    <w:rsid w:val="005D6EA9"/>
    <w:rsid w:val="006042E2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B194C"/>
    <w:rsid w:val="007F35F3"/>
    <w:rsid w:val="008532EF"/>
    <w:rsid w:val="0088644C"/>
    <w:rsid w:val="008946A7"/>
    <w:rsid w:val="00897F29"/>
    <w:rsid w:val="009664B3"/>
    <w:rsid w:val="009B5430"/>
    <w:rsid w:val="00AF0FC5"/>
    <w:rsid w:val="00B55E98"/>
    <w:rsid w:val="00B75533"/>
    <w:rsid w:val="00BA0B12"/>
    <w:rsid w:val="00BE45A7"/>
    <w:rsid w:val="00C74421"/>
    <w:rsid w:val="00CC4E7A"/>
    <w:rsid w:val="00D224BC"/>
    <w:rsid w:val="00D4494D"/>
    <w:rsid w:val="00D57910"/>
    <w:rsid w:val="00DA63D2"/>
    <w:rsid w:val="00E261B7"/>
    <w:rsid w:val="00E75B65"/>
    <w:rsid w:val="00EF280D"/>
    <w:rsid w:val="00F31D95"/>
    <w:rsid w:val="00FF3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3</cp:revision>
  <dcterms:created xsi:type="dcterms:W3CDTF">2014-10-09T12:03:00Z</dcterms:created>
  <dcterms:modified xsi:type="dcterms:W3CDTF">2015-01-19T16:49:00Z</dcterms:modified>
</cp:coreProperties>
</file>